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акт-дефектовки"/>
    <w:p>
      <w:pPr>
        <w:pStyle w:val="Heading1"/>
      </w:pPr>
      <w:r>
        <w:t xml:space="preserve">Акт дефектовки</w:t>
      </w:r>
    </w:p>
    <w:bookmarkStart w:id="9" w:name="оборудования-станка-фрезерного"/>
    <w:p>
      <w:pPr>
        <w:pStyle w:val="Heading2"/>
      </w:pPr>
      <w:r>
        <w:t xml:space="preserve">оборудования (станка фрезерного)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главного инженера И. И. Иванова (председатель), механика С. С. Сидорова, бухгалтера А. А. Кузнецовой провела осмотр станка фрезерного, инв. № 000123, 2019 года выпуска, закреплённого за механическим участком.</w:t>
      </w:r>
    </w:p>
    <w:p>
      <w:pPr>
        <w:pStyle w:val="BodyText"/>
      </w:pPr>
      <w:r>
        <w:t xml:space="preserve">При осмотре выявлены неисправности: износ шпиндельного узла, люфт в подшипниках, повышенная вибрация при работе, течь масла из редуктора. Станок не обеспечивает точность обработки, брак по изделиям составляет до 15 %.</w:t>
      </w:r>
    </w:p>
    <w:p>
      <w:pPr>
        <w:pStyle w:val="BodyText"/>
      </w:pPr>
      <w:r>
        <w:t xml:space="preserve">Причина: естественный износ при эксплуатации, нарушений правил эксплуатации не установлено.</w:t>
      </w:r>
    </w:p>
    <w:p>
      <w:pPr>
        <w:pStyle w:val="BodyText"/>
      </w:pPr>
      <w:r>
        <w:t xml:space="preserve">Заключение комиссии: оборудование подлежит капитальному ремонту в специализированной организации. При стоимости ремонта выше остаточной стоимости комиссия предлагает рассмотреть списание.</w:t>
      </w:r>
    </w:p>
    <w:p>
      <w:pPr>
        <w:pStyle w:val="BodyText"/>
      </w:pPr>
      <w:r>
        <w:t xml:space="preserve">Приложение: ведомость дефектов на 2 л. в 1 экз., фотографии узлов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</dc:title>
  <dc:creator/>
  <dc:language>ru</dc:language>
  <cp:keywords/>
  <dcterms:created xsi:type="dcterms:W3CDTF">2026-11-03T20:30:32Z</dcterms:created>
  <dcterms:modified xsi:type="dcterms:W3CDTF">2026-11-03T20:30:32Z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