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Агентский договор</w:t>
      </w:r>
    </w:p>
    <w:p>
      <w:pPr>
        <w:pStyle w:val="FirstParagraph"/>
      </w:pPr>
      <w:r>
        <w:t xml:space="preserve">Принципал: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Агент: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агентский-договор"/>
    <w:p>
      <w:pPr>
        <w:pStyle w:val="Heading1"/>
      </w:pPr>
      <w:r>
        <w:t xml:space="preserve">Агентский договор</w:t>
      </w:r>
    </w:p>
    <w:bookmarkStart w:id="9" w:name="X31eca75f0b89f80523dd00f49d75e7aa96da784"/>
    <w:p>
      <w:pPr>
        <w:pStyle w:val="Heading2"/>
      </w:pPr>
      <w:r>
        <w:t xml:space="preserve">на поиск и привлечение покупателей за пределами Российской Федерации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Предмет договора: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Вознаграждение: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Валюта и расчёты: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Отчёт Агента: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Налоги: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6. Применимое право и споры: 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Принципал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Агент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Агентский договор</dc:title>
  <dc:creator/>
  <dc:language>ru</dc:language>
  <cp:keywords/>
  <dcterms:created xsi:type="dcterms:W3CDTF">2026-11-06T21:38:40Z</dcterms:created>
  <dcterms:modified xsi:type="dcterms:W3CDTF">2026-11-06T21:38:40Z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